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51D57" w:rsidRDefault="00B02D3F">
      <w:pPr>
        <w:spacing w:before="240" w:after="240" w:line="360" w:lineRule="auto"/>
        <w:jc w:val="center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MODELE DE DELIBERATION POUR LA MISE A JOUR DU PLU</w:t>
      </w:r>
    </w:p>
    <w:p w14:paraId="00000002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L'an deux mille vingt-cinq, à … heures, le Conseil municipal/Conseil communautaire/Comité syndical, régulièrement convoqué le ………………………, s'est réuni à …………………………. </w:t>
      </w:r>
      <w:proofErr w:type="gramStart"/>
      <w:r>
        <w:rPr>
          <w:rFonts w:ascii="Verdana" w:eastAsia="Verdana" w:hAnsi="Verdana" w:cs="Verdana"/>
          <w:sz w:val="20"/>
          <w:szCs w:val="20"/>
        </w:rPr>
        <w:t>sous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la présidence de ………</w:t>
      </w:r>
      <w:proofErr w:type="gramStart"/>
      <w:r>
        <w:rPr>
          <w:rFonts w:ascii="Verdana" w:eastAsia="Verdana" w:hAnsi="Verdana" w:cs="Verdana"/>
          <w:sz w:val="20"/>
          <w:szCs w:val="20"/>
        </w:rPr>
        <w:t>... ,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Maire/Président.</w:t>
      </w:r>
    </w:p>
    <w:p w14:paraId="00000003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Présents :</w:t>
      </w:r>
    </w:p>
    <w:p w14:paraId="00000004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Absent(s) excusé(s) :</w:t>
      </w:r>
    </w:p>
    <w:p w14:paraId="00000005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Secrétaire de séance :</w:t>
      </w:r>
    </w:p>
    <w:p w14:paraId="00000006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Objet</w:t>
      </w:r>
      <w:r>
        <w:rPr>
          <w:rFonts w:ascii="Verdana" w:eastAsia="Verdana" w:hAnsi="Verdana" w:cs="Verdana"/>
          <w:b/>
          <w:sz w:val="20"/>
          <w:szCs w:val="20"/>
        </w:rPr>
        <w:t xml:space="preserve"> : Mise à jour des annexes du PLU</w:t>
      </w: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00000007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Vu le Code Général des Collectivités Territoriales ;</w:t>
      </w:r>
    </w:p>
    <w:p w14:paraId="00000008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Vu le Code de l’urbanisme, et notamment ses articles L.151-51 et L.153-18 ;</w:t>
      </w:r>
    </w:p>
    <w:p w14:paraId="00000009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Vu l’arrêté portant Déclaration d’Utilité Publique </w:t>
      </w:r>
      <w:r>
        <w:rPr>
          <w:rFonts w:ascii="Verdana" w:eastAsia="Verdana" w:hAnsi="Verdana" w:cs="Verdana"/>
          <w:sz w:val="20"/>
          <w:szCs w:val="20"/>
          <w:highlight w:val="yellow"/>
        </w:rPr>
        <w:t>en date du ……</w:t>
      </w:r>
      <w:r>
        <w:rPr>
          <w:rFonts w:ascii="Verdana" w:eastAsia="Verdana" w:hAnsi="Verdana" w:cs="Verdana"/>
          <w:sz w:val="20"/>
          <w:szCs w:val="20"/>
        </w:rPr>
        <w:t xml:space="preserve"> ;</w:t>
      </w:r>
    </w:p>
    <w:p w14:paraId="0000000A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t xml:space="preserve">Monsieur le </w:t>
      </w:r>
      <w:r>
        <w:rPr>
          <w:rFonts w:ascii="Verdana" w:eastAsia="Verdana" w:hAnsi="Verdana" w:cs="Verdana"/>
          <w:sz w:val="20"/>
          <w:szCs w:val="20"/>
          <w:highlight w:val="yellow"/>
        </w:rPr>
        <w:t>Maire/Président</w:t>
      </w:r>
      <w:r>
        <w:rPr>
          <w:rFonts w:ascii="Verdana" w:eastAsia="Verdana" w:hAnsi="Verdana" w:cs="Verdana"/>
          <w:sz w:val="20"/>
          <w:szCs w:val="20"/>
        </w:rPr>
        <w:t xml:space="preserve"> rappelle </w:t>
      </w:r>
      <w:r>
        <w:rPr>
          <w:rFonts w:ascii="Verdana" w:eastAsia="Verdana" w:hAnsi="Verdana" w:cs="Verdana"/>
          <w:sz w:val="20"/>
          <w:szCs w:val="20"/>
          <w:highlight w:val="yellow"/>
        </w:rPr>
        <w:t>que …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…….</w:t>
      </w:r>
      <w:proofErr w:type="gramEnd"/>
      <w:r>
        <w:rPr>
          <w:rFonts w:ascii="Verdana" w:eastAsia="Verdana" w:hAnsi="Verdana" w:cs="Verdana"/>
          <w:sz w:val="20"/>
          <w:szCs w:val="20"/>
          <w:highlight w:val="yellow"/>
        </w:rPr>
        <w:t xml:space="preserve">[rappel du 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contexte]........</w:t>
      </w:r>
      <w:proofErr w:type="gramEnd"/>
    </w:p>
    <w:p w14:paraId="0000000B" w14:textId="77777777" w:rsidR="00D51D57" w:rsidRDefault="00B02D3F">
      <w:pPr>
        <w:shd w:val="clear" w:color="auto" w:fill="FFFFFF"/>
        <w:spacing w:after="20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L’article L.151-51 du code de l’urbanisme </w:t>
      </w:r>
      <w:proofErr w:type="gramStart"/>
      <w:r>
        <w:rPr>
          <w:rFonts w:ascii="Verdana" w:eastAsia="Verdana" w:hAnsi="Verdana" w:cs="Verdana"/>
          <w:sz w:val="20"/>
          <w:szCs w:val="20"/>
        </w:rPr>
        <w:t>dispose  :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“</w:t>
      </w:r>
      <w:r>
        <w:rPr>
          <w:rFonts w:ascii="Verdana" w:eastAsia="Verdana" w:hAnsi="Verdana" w:cs="Verdana"/>
          <w:i/>
          <w:sz w:val="20"/>
          <w:szCs w:val="20"/>
        </w:rPr>
        <w:t xml:space="preserve">Les annexes </w:t>
      </w:r>
      <w:proofErr w:type="gramStart"/>
      <w:r>
        <w:rPr>
          <w:rFonts w:ascii="Verdana" w:eastAsia="Verdana" w:hAnsi="Verdana" w:cs="Verdana"/>
          <w:i/>
          <w:sz w:val="20"/>
          <w:szCs w:val="20"/>
        </w:rPr>
        <w:t>au</w:t>
      </w:r>
      <w:proofErr w:type="gramEnd"/>
      <w:r>
        <w:rPr>
          <w:rFonts w:ascii="Verdana" w:eastAsia="Verdana" w:hAnsi="Verdana" w:cs="Verdana"/>
          <w:i/>
          <w:sz w:val="20"/>
          <w:szCs w:val="20"/>
        </w:rPr>
        <w:t xml:space="preserve"> plan local d'urbanisme comprennent, s'il y a lieu, outre les servitudes d'utilité publique affectant l'utilisation du sol appartenant aux catégories figurant sur la liste annexée au présent livre mentionnées à l'article L. 151-43, les éléments énumérés aux articles R. 151-52 et R. 151-53</w:t>
      </w:r>
      <w:r>
        <w:rPr>
          <w:rFonts w:ascii="Verdana" w:eastAsia="Verdana" w:hAnsi="Verdana" w:cs="Verdana"/>
          <w:sz w:val="20"/>
          <w:szCs w:val="20"/>
        </w:rPr>
        <w:t>.”</w:t>
      </w:r>
    </w:p>
    <w:p w14:paraId="0000000C" w14:textId="77777777" w:rsidR="00D51D57" w:rsidRDefault="00B02D3F">
      <w:pPr>
        <w:shd w:val="clear" w:color="auto" w:fill="FFFFFF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mise en place de servitudes fait l’objet d’une mise à jour du Plan Local d’Urbanisme (PLU), sur le fondement de la modification des annexes de ce document d’urbanisme prévue à l’article R153-18 du code de l’urbanisme.</w:t>
      </w:r>
    </w:p>
    <w:p w14:paraId="0000000D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Considérant que l’arrêté portant Déclaration d’Utilité Publique </w:t>
      </w:r>
      <w:r>
        <w:rPr>
          <w:rFonts w:ascii="Verdana" w:eastAsia="Verdana" w:hAnsi="Verdana" w:cs="Verdana"/>
          <w:sz w:val="20"/>
          <w:szCs w:val="20"/>
          <w:highlight w:val="yellow"/>
        </w:rPr>
        <w:t>en date du …… prévoit ……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…[</w:t>
      </w:r>
      <w:proofErr w:type="gramEnd"/>
      <w:r>
        <w:rPr>
          <w:rFonts w:ascii="Verdana" w:eastAsia="Verdana" w:hAnsi="Verdana" w:cs="Verdana"/>
          <w:sz w:val="20"/>
          <w:szCs w:val="20"/>
          <w:highlight w:val="yellow"/>
        </w:rPr>
        <w:t xml:space="preserve">servitudes ; prescriptions ; 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…].........</w:t>
      </w:r>
      <w:proofErr w:type="gramEnd"/>
      <w:r>
        <w:rPr>
          <w:rFonts w:ascii="Verdana" w:eastAsia="Verdana" w:hAnsi="Verdana" w:cs="Verdana"/>
          <w:sz w:val="20"/>
          <w:szCs w:val="20"/>
        </w:rPr>
        <w:t xml:space="preserve"> ;</w:t>
      </w:r>
    </w:p>
    <w:p w14:paraId="0000000E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Considérant que cet arrêté prévoit également son annexion dans le PLU ;</w:t>
      </w:r>
    </w:p>
    <w:p w14:paraId="0000000F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Considérant la nécessité d’annexer l’arrêté portant Déclaration d’Utilité Publique </w:t>
      </w:r>
      <w:r>
        <w:rPr>
          <w:rFonts w:ascii="Verdana" w:eastAsia="Verdana" w:hAnsi="Verdana" w:cs="Verdana"/>
          <w:sz w:val="20"/>
          <w:szCs w:val="20"/>
          <w:highlight w:val="yellow"/>
        </w:rPr>
        <w:t>en date du ……</w:t>
      </w:r>
      <w:r>
        <w:rPr>
          <w:rFonts w:ascii="Verdana" w:eastAsia="Verdana" w:hAnsi="Verdana" w:cs="Verdana"/>
          <w:sz w:val="20"/>
          <w:szCs w:val="20"/>
        </w:rPr>
        <w:t xml:space="preserve"> dans le PLU ;</w:t>
      </w:r>
    </w:p>
    <w:p w14:paraId="00000010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Considérant que cette annexion dans le PLU doit être effectuée par la collectivité compétente en PLU ; </w:t>
      </w:r>
    </w:p>
    <w:p w14:paraId="00000011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Il est donc proposé au </w:t>
      </w:r>
      <w:r>
        <w:rPr>
          <w:rFonts w:ascii="Verdana" w:eastAsia="Verdana" w:hAnsi="Verdana" w:cs="Verdana"/>
          <w:sz w:val="20"/>
          <w:szCs w:val="20"/>
          <w:highlight w:val="yellow"/>
        </w:rPr>
        <w:t>Conseil municipal/Conseil communautaire/Comité syndical</w:t>
      </w:r>
      <w:r>
        <w:rPr>
          <w:rFonts w:ascii="Verdana" w:eastAsia="Verdana" w:hAnsi="Verdana" w:cs="Verdana"/>
          <w:sz w:val="20"/>
          <w:szCs w:val="20"/>
        </w:rPr>
        <w:t xml:space="preserve"> d’approuver la mise à jour du PLU telle qu’annexée à la présente délibération.</w:t>
      </w:r>
    </w:p>
    <w:p w14:paraId="00000012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Après en avoir délibéré, le </w:t>
      </w:r>
      <w:r>
        <w:rPr>
          <w:rFonts w:ascii="Verdana" w:eastAsia="Verdana" w:hAnsi="Verdana" w:cs="Verdana"/>
          <w:sz w:val="20"/>
          <w:szCs w:val="20"/>
          <w:highlight w:val="yellow"/>
        </w:rPr>
        <w:t>Conseil municipal/Conseil communautaire/Comité syndical</w:t>
      </w:r>
      <w:r>
        <w:rPr>
          <w:rFonts w:ascii="Verdana" w:eastAsia="Verdana" w:hAnsi="Verdana" w:cs="Verdana"/>
          <w:sz w:val="20"/>
          <w:szCs w:val="20"/>
        </w:rPr>
        <w:t xml:space="preserve">, </w:t>
      </w:r>
      <w:r>
        <w:rPr>
          <w:rFonts w:ascii="Verdana" w:eastAsia="Verdana" w:hAnsi="Verdana" w:cs="Verdana"/>
          <w:sz w:val="20"/>
          <w:szCs w:val="20"/>
          <w:highlight w:val="yellow"/>
        </w:rPr>
        <w:t xml:space="preserve">par … voix pour, …. 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voix</w:t>
      </w:r>
      <w:proofErr w:type="gramEnd"/>
      <w:r>
        <w:rPr>
          <w:rFonts w:ascii="Verdana" w:eastAsia="Verdana" w:hAnsi="Verdana" w:cs="Verdana"/>
          <w:sz w:val="20"/>
          <w:szCs w:val="20"/>
          <w:highlight w:val="yellow"/>
        </w:rPr>
        <w:t xml:space="preserve"> contre, … abstentions</w:t>
      </w:r>
      <w:r>
        <w:rPr>
          <w:rFonts w:ascii="Verdana" w:eastAsia="Verdana" w:hAnsi="Verdana" w:cs="Verdana"/>
          <w:sz w:val="20"/>
          <w:szCs w:val="20"/>
        </w:rPr>
        <w:t xml:space="preserve"> :</w:t>
      </w:r>
    </w:p>
    <w:p w14:paraId="00000013" w14:textId="77777777" w:rsidR="00D51D57" w:rsidRDefault="00B02D3F">
      <w:pPr>
        <w:numPr>
          <w:ilvl w:val="0"/>
          <w:numId w:val="1"/>
        </w:numPr>
        <w:spacing w:before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>APPROUVE</w:t>
      </w:r>
      <w:r>
        <w:rPr>
          <w:rFonts w:ascii="Verdana" w:eastAsia="Verdana" w:hAnsi="Verdana" w:cs="Verdana"/>
          <w:sz w:val="20"/>
          <w:szCs w:val="20"/>
        </w:rPr>
        <w:t xml:space="preserve"> la mise à jour du PLU tel qu’annexée à la présente délibération ;</w:t>
      </w:r>
    </w:p>
    <w:p w14:paraId="00000014" w14:textId="77777777" w:rsidR="00D51D57" w:rsidRDefault="00B02D3F">
      <w:pPr>
        <w:numPr>
          <w:ilvl w:val="0"/>
          <w:numId w:val="1"/>
        </w:num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>CONSTATE</w:t>
      </w:r>
      <w:r>
        <w:rPr>
          <w:rFonts w:ascii="Verdana" w:eastAsia="Verdana" w:hAnsi="Verdana" w:cs="Verdana"/>
          <w:sz w:val="20"/>
          <w:szCs w:val="20"/>
        </w:rPr>
        <w:t xml:space="preserve"> la mise à jour du PLU tel qu’annexée à la présente délibération ;</w:t>
      </w:r>
    </w:p>
    <w:p w14:paraId="00000015" w14:textId="77777777" w:rsidR="00D51D57" w:rsidRDefault="00B02D3F">
      <w:pPr>
        <w:numPr>
          <w:ilvl w:val="0"/>
          <w:numId w:val="1"/>
        </w:numPr>
        <w:spacing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lastRenderedPageBreak/>
        <w:t>AUTORISE</w:t>
      </w:r>
      <w:r>
        <w:rPr>
          <w:rFonts w:ascii="Verdana" w:eastAsia="Verdana" w:hAnsi="Verdana" w:cs="Verdana"/>
          <w:sz w:val="20"/>
          <w:szCs w:val="20"/>
        </w:rPr>
        <w:t xml:space="preserve"> Monsieur le </w:t>
      </w:r>
      <w:r>
        <w:rPr>
          <w:rFonts w:ascii="Verdana" w:eastAsia="Verdana" w:hAnsi="Verdana" w:cs="Verdana"/>
          <w:sz w:val="20"/>
          <w:szCs w:val="20"/>
          <w:highlight w:val="yellow"/>
        </w:rPr>
        <w:t>Maire/Président</w:t>
      </w:r>
      <w:r>
        <w:rPr>
          <w:rFonts w:ascii="Verdana" w:eastAsia="Verdana" w:hAnsi="Verdana" w:cs="Verdana"/>
          <w:sz w:val="20"/>
          <w:szCs w:val="20"/>
        </w:rPr>
        <w:t xml:space="preserve"> à prendre et signer tout acte nécessaire à l’exécution de la présente délibération.</w:t>
      </w:r>
    </w:p>
    <w:p w14:paraId="00000016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Le PLU mis à jour fera l’objet d’un affichage en mairie dans les communes concernées pendant un (1) mois. </w:t>
      </w:r>
    </w:p>
    <w:p w14:paraId="00000017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>La présente délibération peut faire l’objet d’un recours contentieux devant le Tribunal Administratif de Rouen dans un délai de deux mois à compter de son affichage et de sa réception par le représentant de l’Etat.</w:t>
      </w:r>
    </w:p>
    <w:p w14:paraId="00000018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t xml:space="preserve">Pour extrait conforme au registre des délibérations </w:t>
      </w:r>
      <w:r>
        <w:rPr>
          <w:rFonts w:ascii="Verdana" w:eastAsia="Verdana" w:hAnsi="Verdana" w:cs="Verdana"/>
          <w:sz w:val="20"/>
          <w:szCs w:val="20"/>
          <w:highlight w:val="yellow"/>
        </w:rPr>
        <w:t>du Conseil municipal/Conseil communautaire/Comité syndical</w:t>
      </w:r>
    </w:p>
    <w:p w14:paraId="00000019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0000001A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  <w:highlight w:val="yellow"/>
        </w:rPr>
        <w:t>Fait à …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…….</w:t>
      </w:r>
      <w:proofErr w:type="gramEnd"/>
      <w:r>
        <w:rPr>
          <w:rFonts w:ascii="Verdana" w:eastAsia="Verdana" w:hAnsi="Verdana" w:cs="Verdana"/>
          <w:sz w:val="20"/>
          <w:szCs w:val="20"/>
          <w:highlight w:val="yellow"/>
        </w:rPr>
        <w:t xml:space="preserve">. 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le</w:t>
      </w:r>
      <w:proofErr w:type="gramEnd"/>
      <w:r>
        <w:rPr>
          <w:rFonts w:ascii="Verdana" w:eastAsia="Verdana" w:hAnsi="Verdana" w:cs="Verdana"/>
          <w:sz w:val="20"/>
          <w:szCs w:val="20"/>
          <w:highlight w:val="yellow"/>
        </w:rPr>
        <w:t xml:space="preserve"> …</w:t>
      </w:r>
      <w:proofErr w:type="gramStart"/>
      <w:r>
        <w:rPr>
          <w:rFonts w:ascii="Verdana" w:eastAsia="Verdana" w:hAnsi="Verdana" w:cs="Verdana"/>
          <w:sz w:val="20"/>
          <w:szCs w:val="20"/>
          <w:highlight w:val="yellow"/>
        </w:rPr>
        <w:t>…….</w:t>
      </w:r>
      <w:proofErr w:type="gramEnd"/>
      <w:r>
        <w:rPr>
          <w:rFonts w:ascii="Verdana" w:eastAsia="Verdana" w:hAnsi="Verdana" w:cs="Verdana"/>
          <w:sz w:val="20"/>
          <w:szCs w:val="20"/>
          <w:highlight w:val="yellow"/>
        </w:rPr>
        <w:t>.</w:t>
      </w:r>
    </w:p>
    <w:p w14:paraId="0000001B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 xml:space="preserve"> </w:t>
      </w:r>
    </w:p>
    <w:p w14:paraId="0000001C" w14:textId="77777777" w:rsidR="00D51D57" w:rsidRDefault="00B02D3F">
      <w:pPr>
        <w:spacing w:before="240" w:after="240"/>
        <w:jc w:val="both"/>
        <w:rPr>
          <w:rFonts w:ascii="Verdana" w:eastAsia="Verdana" w:hAnsi="Verdana" w:cs="Verdana"/>
          <w:sz w:val="20"/>
          <w:szCs w:val="20"/>
          <w:highlight w:val="yellow"/>
        </w:rPr>
      </w:pPr>
      <w:r>
        <w:rPr>
          <w:rFonts w:ascii="Verdana" w:eastAsia="Verdana" w:hAnsi="Verdana" w:cs="Verdana"/>
          <w:sz w:val="20"/>
          <w:szCs w:val="20"/>
        </w:rPr>
        <w:t xml:space="preserve">Le </w:t>
      </w:r>
      <w:r>
        <w:rPr>
          <w:rFonts w:ascii="Verdana" w:eastAsia="Verdana" w:hAnsi="Verdana" w:cs="Verdana"/>
          <w:sz w:val="20"/>
          <w:szCs w:val="20"/>
          <w:highlight w:val="yellow"/>
        </w:rPr>
        <w:t>Maire/Président</w:t>
      </w:r>
    </w:p>
    <w:p w14:paraId="0000001D" w14:textId="77777777" w:rsidR="00D51D57" w:rsidRDefault="00D51D57">
      <w:pPr>
        <w:jc w:val="both"/>
        <w:rPr>
          <w:rFonts w:ascii="Verdana" w:eastAsia="Verdana" w:hAnsi="Verdana" w:cs="Verdana"/>
          <w:sz w:val="20"/>
          <w:szCs w:val="20"/>
        </w:rPr>
      </w:pPr>
    </w:p>
    <w:sectPr w:rsidR="00D51D5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8101CF5F-B3B0-4F1F-AFE3-ACEC34F99BC2}"/>
    <w:embedBold r:id="rId2" w:fontKey="{CC352EB2-480E-4DF2-A776-F82A387CDB1A}"/>
    <w:embedItalic r:id="rId3" w:fontKey="{D42B2758-D263-412B-B7C9-F1BED3F022FC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4" w:fontKey="{78152587-17AB-400B-A5D1-97F3B69C66E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5459E2B-3C9A-4C5E-9648-948DAA08F92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4FB9700-BC25-4D70-A78A-E0205FDA3C5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8D0392"/>
    <w:multiLevelType w:val="multilevel"/>
    <w:tmpl w:val="3B64FA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66116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D57"/>
    <w:rsid w:val="00A96E55"/>
    <w:rsid w:val="00B02D3F"/>
    <w:rsid w:val="00D5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2260</Characters>
  <Application>Microsoft Office Word</Application>
  <DocSecurity>4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Rochelle</dc:creator>
  <cp:lastModifiedBy>Claire Rochelle</cp:lastModifiedBy>
  <cp:revision>2</cp:revision>
  <dcterms:created xsi:type="dcterms:W3CDTF">2025-07-22T15:31:00Z</dcterms:created>
  <dcterms:modified xsi:type="dcterms:W3CDTF">2025-07-22T15:31:00Z</dcterms:modified>
</cp:coreProperties>
</file>